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92E5B" w14:textId="77777777" w:rsidR="007B2511" w:rsidRPr="007B2511" w:rsidRDefault="007B2511" w:rsidP="007B251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А</w:t>
      </w:r>
    </w:p>
    <w:p w14:paraId="713405A3" w14:textId="35E66E9C" w:rsidR="007B2511" w:rsidRPr="007B2511" w:rsidRDefault="007B2511" w:rsidP="007B251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Тендерного оголошення (ідентифікатор закупівлі: 1</w:t>
      </w:r>
      <w:r w:rsidR="0048712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072026)</w:t>
      </w:r>
    </w:p>
    <w:p w14:paraId="1E667101" w14:textId="77777777" w:rsidR="007B2511" w:rsidRDefault="007B2511" w:rsidP="007B251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3C94156" w14:textId="3C081DA7" w:rsidR="007B2511" w:rsidRPr="007B2511" w:rsidRDefault="007B2511" w:rsidP="007B251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Специфікація щодо предмета закупівлі</w:t>
      </w:r>
    </w:p>
    <w:p w14:paraId="0ADC7BA7" w14:textId="5B09E4F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Опис послуг:</w:t>
      </w:r>
    </w:p>
    <w:p w14:paraId="47806F7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Консультаційні послуги спеціаліста із закупівель для організації та супроводу закупівель матеріалів та обладнання в межах реалізації Проєкту «Безпечний освітній простір для українських дітей у постраждалих від війни громадах», що фінансується GIZ на замовлення Уряду Федеративної Республіки Німеччина та реалізується Замовником (далі – Проєкт), зокрема:</w:t>
      </w:r>
    </w:p>
    <w:p w14:paraId="253FF74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планування закупівель матеріалів та обладнання, дослідження ринку, аналіз цін;</w:t>
      </w:r>
    </w:p>
    <w:p w14:paraId="21FD2ABE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підготовка специфікацій, технічних вимог, оголошень, запитів пропозицій та тендерної документації;</w:t>
      </w:r>
    </w:p>
    <w:p w14:paraId="085D825C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організація та супровід процедур закупівель відповідно до політики процедури закупівель Замовника: публікація та розсилка оголошень, комунікація з учасниками, надання роз'яснень, отримання та реєстрація пропозицій;</w:t>
      </w:r>
    </w:p>
    <w:p w14:paraId="065EB3E8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попередній аналіз та оцінка пропозицій, підготовка проєктів звітів про оцінку, протоколів відкриття та засідань тендерної комісії, організаційна підтримка роботи тендерної комісії;</w:t>
      </w:r>
    </w:p>
    <w:p w14:paraId="7A286C65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юридичний супровід закупівель: підготовка проєктів договорів із постачальниками, опрацювання звернень та скарг учасників, підготовка обґрунтованих відповідей;</w:t>
      </w:r>
    </w:p>
    <w:p w14:paraId="7BD369D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ведення та збереження повного комплекту закупівельної документації за формами, встановленими Замовником та вимогами проєкту, підготовка звітності для внутрішнього та зовнішнього аудиту;</w:t>
      </w:r>
    </w:p>
    <w:p w14:paraId="788FF60E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консультування команди проєкту з питань закупівель, передача знань та кращих практик персоналу Замовника.</w:t>
      </w:r>
    </w:p>
    <w:p w14:paraId="45DF63A8" w14:textId="25A1BB03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Вимоги до якості послуг:</w:t>
      </w:r>
    </w:p>
    <w:p w14:paraId="25FF058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Послуги надаються з дотриманням політики процедури закупівель Замовника, вимог проєкту та принципів економічності, ефективності, прозорості та документованості закупівель. Уся закупівельна документація має бути повною, достовірною, придатною для перевірки та аудиту.</w:t>
      </w:r>
    </w:p>
    <w:p w14:paraId="4383587E" w14:textId="48902F6A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Загальний обсяг закупівлі:</w:t>
      </w:r>
    </w:p>
    <w:p w14:paraId="20E6B4D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Період надання послуг: липень – листопад 2026 року (з дати укладення договору). Послуги надаються на умовах повної зайнятості за Проєктом, у місці, визначеному Фондом; </w:t>
      </w:r>
    </w:p>
    <w:p w14:paraId="4DB35DA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Послуги проводяться відповідно до умов договору та вимог БО «БФ «Сміливі» з готовністю до оперативної комунікації в робочий час та участі в засіданнях тендерної комісії. Орієнтовний обсяг: повний супровід закупівельних процедур проєкту, що проводяться в зазначений період.</w:t>
      </w:r>
    </w:p>
    <w:p w14:paraId="751C1A6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Умови надання та оплати послуг</w:t>
      </w:r>
    </w:p>
    <w:p w14:paraId="522D68E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Винагорода виконавця:</w:t>
      </w:r>
    </w:p>
    <w:p w14:paraId="331E92C7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Рекомендується у ціновій пропозиції передбачити строк співпраці — 5 місяців (липень – листопад 2026 року включно). Цінову пропозицію скласти за Додатком В — «Цінова пропозиція». Фонд залишає за собою право встановити граничну ціну договору відповідно до вимог бюджету Проєкту та право дострокового розірвання договору та перегляду його строків;</w:t>
      </w:r>
    </w:p>
    <w:p w14:paraId="36F1B7DB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Завдання виконавцю видає посадова особа БО БФ «СМІЛИВІ», умови оплати:  післяплата на підставі Акту наданих послуг; </w:t>
      </w:r>
    </w:p>
    <w:p w14:paraId="7227250C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Договір з виконавцем укладається на умовах, що визначені договором, проєкт якого є Додатком С до цього оголошення.</w:t>
      </w:r>
    </w:p>
    <w:p w14:paraId="62C52B0D" w14:textId="5E77E0BB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Особливі умови:</w:t>
      </w:r>
    </w:p>
    <w:p w14:paraId="41118EEE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Виконавець зобов'язується: дотримуватися конфіденційності щодо інформації, отриманої під час надання послуг; невідкладно повідомляти Замовника про будь-який потенційний конфлікт інтересів; забезпечити збереження та передачу Замовнику повного комплекту закупівельної документації; погодитися з правом Замовника, донора проєкту та уповноважених ними аудиторів перевіряти документацію, пов'язану з виконанням договору; </w:t>
      </w:r>
    </w:p>
    <w:p w14:paraId="59A507F1" w14:textId="37F53D00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 Кваліфікаційні критерії:</w:t>
      </w:r>
    </w:p>
    <w:p w14:paraId="2B2E8D55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фізична особа (у т.ч. фізична особа – підприємець, самозайнята особа) або юридична особа;</w:t>
      </w:r>
    </w:p>
    <w:p w14:paraId="33F0B51F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вища освіта у галузі права, економіки та/або фінансів; наявність освіти у декількох із зазначених галузей – перевага;</w:t>
      </w:r>
    </w:p>
    <w:p w14:paraId="3461256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загальний досвід роботи у сфері публічних (державних) закупівель та/або закупівель за кошти міжнародних організацій – не менше 7 років;</w:t>
      </w:r>
    </w:p>
    <w:p w14:paraId="0DE5A52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досвід проведення закупівель за кошти міжнародних донорів — із зазначенням у резюме, яких саме донорів та в межах яких проєктів;</w:t>
      </w:r>
    </w:p>
    <w:p w14:paraId="3DFDD236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досвід проходження донорського аудиту закупівель;</w:t>
      </w:r>
    </w:p>
    <w:p w14:paraId="4D7643EC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</w:t>
      </w:r>
      <w:r>
        <w:rPr>
          <w:rFonts w:ascii="Times New Roman" w:hAnsi="Times New Roman" w:cs="Times New Roman"/>
        </w:rPr>
        <w:tab/>
        <w:t>досвід одночасного ведення закупівель за кількома донорськими рамками (за правилами та процедурами різних донорів одночасно);</w:t>
      </w:r>
    </w:p>
    <w:p w14:paraId="4D189A9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практичний досвід організації та проведення процедур закупівель, підготовки тендерної документації, розгляду та оцінки пропозицій, ведення протоколів;</w:t>
      </w:r>
    </w:p>
    <w:p w14:paraId="43EE5A62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  <w:t>досвід юридичного супроводу закупівель (роз'яснення, звернення учасників, проєкти договорів);</w:t>
      </w:r>
    </w:p>
    <w:p w14:paraId="2A0E33C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ab/>
        <w:t>досвід аналізу проведених закупівель на відповідність вимогам донорів, тендерної документації та внутрішніх політик організації (комплаєнс-перевірка закупівель);</w:t>
      </w:r>
    </w:p>
    <w:p w14:paraId="7DE5FCE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ab/>
        <w:t>впевнене користування електронними системами публічних закупівель та майданчиками-учасниками (створення оголошень, робота з тендерною документацією, електронний обіг документів); впевнене володіння аналітичним інструментарієм моніторингу закупівель — BI Prozorro, Clarity App, Power BI — для дослідження ринку, аналізу цін та підготовки аналітичних звітів; MS Office / Google Workspace; надання відповідного сертифіката – перевага;</w:t>
      </w:r>
    </w:p>
    <w:p w14:paraId="7B2474BF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ab/>
        <w:t>практичний досвід обґрунтування очікуваної вартості предмета закупівлі та дослідження ринку за визнаними методиками, що використовуються в донорських закупівлях: запити цінових пропозицій, порівняльний аналіз цін, документальне обґрунтування бюджету закупівлі;</w:t>
      </w:r>
    </w:p>
    <w:p w14:paraId="409FB83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ab/>
        <w:t>досвід супроводу процедур оскарження у сфері закупівель – перевага;</w:t>
      </w:r>
    </w:p>
    <w:p w14:paraId="4A6A5D42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ab/>
        <w:t>досвід підготовки аналітичних або методичних матеріалів у сфері закупівель, проведення навчальних заходів (семінарів, вебінарів) та навчання закупівельних команд, передачі знань персоналу організацій – перевага;</w:t>
      </w:r>
    </w:p>
    <w:p w14:paraId="6D8899EB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ab/>
        <w:t>наявність сертифікатів, що підтверджують кваліфікацію у сфері закупівель (CIPS, сертифікаційні курси Мінекономіки, КШЕ або аналогічні) – перевага;</w:t>
      </w:r>
    </w:p>
    <w:p w14:paraId="2C85D09F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ab/>
        <w:t>вільне володіння українською мовою; англійська – не нижче B2;</w:t>
      </w:r>
    </w:p>
    <w:p w14:paraId="24A12E2B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tab/>
        <w:t>досвід підготовки закупівельної документації українською та англійською мовами (частина документації Проєкту ведеться англійською мовою); надання сертифіката або іншого документального підтвердження рівня B2, Upper-Intermediate та вище – обов’язкове;</w:t>
      </w:r>
    </w:p>
    <w:p w14:paraId="5674E942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>
        <w:rPr>
          <w:rFonts w:ascii="Times New Roman" w:hAnsi="Times New Roman" w:cs="Times New Roman"/>
        </w:rPr>
        <w:tab/>
        <w:t>досвід ефективної офісної роботи, розвинені навички ділового письмового та усного спілкування.</w:t>
      </w:r>
    </w:p>
    <w:p w14:paraId="5E25674F" w14:textId="56320563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 Ключові критерії оцінки тендерних пропозицій:</w:t>
      </w:r>
    </w:p>
    <w:p w14:paraId="5BF935D6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Пропозиція (разом з додатками до неї) має відповідати та оцінюється за наступними критеріями: відповідність досвіду цілям специфікації – 40 балів; відповідність знань і кваліфікації – 30 балів; ціна послуг – 30 балів.</w:t>
      </w:r>
    </w:p>
    <w:p w14:paraId="0293416A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Замовник залишає за собою право запросити учасників, які подолали технічний поріг, на співбесіду з тендерною комісією; результати співбесіди враховуються в межах технічної оцінки.</w:t>
      </w:r>
    </w:p>
    <w:p w14:paraId="66413DD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Зміст тендерних пропозицій</w:t>
      </w:r>
    </w:p>
    <w:p w14:paraId="6FEE8C77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цінова пропозиція за формою Додатка В (ціна в гривнях, включаючи всі податки, збори та витрати учасника);</w:t>
      </w:r>
    </w:p>
    <w:p w14:paraId="2D8FB1E2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резюме (CV) з описом досвіду відповідно до кваліфікаційних критеріїв розділу 6 цієї Специфікації;</w:t>
      </w:r>
    </w:p>
    <w:p w14:paraId="7CA8004B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копія документа про освіту;</w:t>
      </w:r>
    </w:p>
    <w:p w14:paraId="54202B3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копії реєстраційних документів залежно від форми участі — згідно з розділом 9 цієї Специфікації;</w:t>
      </w:r>
    </w:p>
    <w:p w14:paraId="7127B5DF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довідка-підтвердження відсутності учасника в Єдиному державному реєстрі осіб, які вчинили корупційні або пов’язані з корупцією правопорушення (для юридичних осіб — щодо керівника);</w:t>
      </w:r>
    </w:p>
    <w:p w14:paraId="1B792FB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довідка про відсутність заборгованості з платежів, контроль за справлянням яких покладено на контролюючі органи, чинна на дату подання пропозиції;</w:t>
      </w:r>
    </w:p>
    <w:p w14:paraId="11A00001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сертифікат або інше документальне підтвердження володіння англійською мовою на рівні не нижче B2 (Upper-Intermediate), видані закладом освіти, мовною школою або міжнародною екзаменаційною установою;</w:t>
      </w:r>
    </w:p>
    <w:p w14:paraId="11A00002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  <w:t>заповнена форма «Загальна інформація» — Додаток А1;</w:t>
      </w:r>
    </w:p>
    <w:p w14:paraId="11A0000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ab/>
        <w:t>декларація відповідності за формою Додатка А2 (відсутність конфлікту інтересів, санкцій, підтвердження доброчесності та згода на перевірки з боку Замовника, донора проєкту та уповноважених ними аудиторів);</w:t>
      </w:r>
    </w:p>
    <w:p w14:paraId="11A0000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ab/>
        <w:t>лист-згода за формою Додатка А3.</w:t>
      </w:r>
    </w:p>
    <w:p w14:paraId="132925BA" w14:textId="58057F61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9. Умови участі в тендері та реєстраційні документи учасників:</w:t>
      </w:r>
    </w:p>
    <w:p w14:paraId="2C990FA9" w14:textId="6E09BBC5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 Закупівля проводиться у відкритому форматі із застосуванням сайту Замовника: https://brave.org.ua/zakupivli. Учасник, який має намір взяти участь у тендері, надсилає відповідне підтвердження на електронну адресу tender@brave.org.ua для включення до загальної розсилки відповідей на запитання стосовно цього тендеру.</w:t>
      </w:r>
    </w:p>
    <w:p w14:paraId="06FA9DF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9.2. Учасники відповідають за зміст своїх тендерних пропозицій та повинні дотримуватися норм чинного законодавства України і вимог цієї тендерної документації.</w:t>
      </w:r>
    </w:p>
    <w:p w14:paraId="578BB35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 Факт подання тендерної пропозиції учасником – фізичною особою чи фізичною особою – підприємцем, яка є суб’єктом персональних даних, вважається безумовною згодою суб’єкта персональних даних на обробку її персональних даних у зв’язку з участю в тендері відповідно до абзацу четвертого статті 2 Закону України «Про захист персональних даних» від 01.06.2010 № 2297-VI.</w:t>
      </w:r>
    </w:p>
    <w:p w14:paraId="256C3F4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 В усіх інших випадках факт подання тендерної пропозиції учасником – юридичною особою, що є розпорядником персональних даних, вважається підтвердженням наявності у неї права на обробку персональних даних, а також надання такого права Замовнику як одержувачу зазначених персональних даних від імені суб’єкта (володільця). Таким чином, відповідальність за неправомірну передачу Замовнику персональних даних, а також їх обробку, несе виключно учасник тендеру, що подав тендерну пропозицію.</w:t>
      </w:r>
    </w:p>
    <w:p w14:paraId="44C3D6B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9.5. Тендерну пропозицію, яка міститиме будь-які посилання, обмеження або застереження щодо ціни тендерної пропозиції, буде відхилено як таку, що не відповідає вимогам цієї тендерної документації. Тендерні пропозиції, що подані в інший спосіб (у тому числі у паперовому вигляді) або надіслані на іншу електронну пошту, ніж визначена в оголошенні, не допускаються до оцінки та відхиляються.</w:t>
      </w:r>
    </w:p>
    <w:p w14:paraId="2810069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9.6. Відповідно до вимог пп. 1 п. 1 постанови Кабінету Міністрів України від 03.03.2022 № 187 «Про забезпечення захисту національних інтересів за майбутніми позовами держави Україна у зв’язку з військовою агресією Російської Федерації» в якості учасника не можуть виступати:</w:t>
      </w:r>
    </w:p>
    <w:p w14:paraId="09DA855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громадяни Російської Федерації / Республіки Білорусь;</w:t>
      </w:r>
    </w:p>
    <w:p w14:paraId="1F3AE97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юридичні особи, створені та зареєстровані відповідно до законодавства Російської Федерації / Республіки Білорусь;</w:t>
      </w:r>
    </w:p>
    <w:p w14:paraId="321B92A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юридичні особи, створені та зареєстровані відповідно до законодавства України, кінцевим бенефіціарним власником, членом або учасником (акціонером), що має частку в статутному капіталі 10 і більше відсотків, яких є Російська Федерація / Республіка Білорусь, громадянин Російської Федерації / Республіки Білорусь або юридична особа, створена та зареєстрована відповідно до законодавства Російської Федерації / Республіки Білорусь.</w:t>
      </w:r>
    </w:p>
    <w:p w14:paraId="66D53C3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Зазначене обмеження не застосовується до громадян Російської Федерації / Республіки Білорусь, які проживають на території України на законних підставах, та юридичних осіб, створених та зареєстрованих відповідно до законодавства України, кінцевим бенефіціарним власником, членом або учасником (акціонером) яких є виключно громадяни Російської Федерації / Республіки Білорусь, які проживають на території України на законних підставах, або виключно громадяни України та громадяни Російської Федерації / Республіки Білорусь, які проживають на території України на законних підставах.</w:t>
      </w:r>
    </w:p>
    <w:p w14:paraId="1D743BB6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 Перелік реєстраційних документів, що подаються у складі тендерної пропозиції (копії, залежно від форми участі):</w:t>
      </w:r>
    </w:p>
    <w:p w14:paraId="0F238944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9.7.1. Фізичні особи (без статусу підприємця):</w:t>
      </w:r>
    </w:p>
    <w:p w14:paraId="6155A881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копія паспорта громадянина України (або ID-картки);</w:t>
      </w:r>
    </w:p>
    <w:p w14:paraId="2E2E3C8C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копія реєстраційного номера облікової картки платника податків (РНОКПП) або сторінки паспорта з відміткою про відмову від його прийняття;</w:t>
      </w:r>
    </w:p>
    <w:p w14:paraId="3ED59EFA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довідка банку про відкриття рахунку із зазначенням реквізитів IBAN.</w:t>
      </w:r>
    </w:p>
    <w:p w14:paraId="2440A7A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9.7.2. Фізичні особи – підприємці (ФОП):</w:t>
      </w:r>
    </w:p>
    <w:p w14:paraId="5F6D5CEE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виписка або актуальний витяг з Єдиного державного реєстру юридичних осіб, фізичних осіб – підприємців та громадських формувань (далі – ЄДР) із видами діяльності (КВЕД), що відповідають предмету закупівлі;</w:t>
      </w:r>
    </w:p>
    <w:p w14:paraId="0193027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витяг з реєстру платників єдиного податку або документ про перебування на загальній системі оподаткування;</w:t>
      </w:r>
    </w:p>
    <w:p w14:paraId="7FD12C58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витяг з реєстру платників ПДВ (за наявності такого статусу);</w:t>
      </w:r>
    </w:p>
    <w:p w14:paraId="169F2BE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копії паспорта та РНОКПП;</w:t>
      </w:r>
    </w:p>
    <w:p w14:paraId="7362F1C9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банківські реквізити підприємницького рахунку.</w:t>
      </w:r>
    </w:p>
    <w:p w14:paraId="35E29BD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9.7.3. Особи, які провадять незалежну професійну діяльність:</w:t>
      </w:r>
    </w:p>
    <w:p w14:paraId="518054B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копії паспорта та РНОКПП;</w:t>
      </w:r>
    </w:p>
    <w:p w14:paraId="433E449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довідка про взяття на облік платника податків (форма № 34-ОПП) із зазначенням виду незалежної професійної діяльності;</w:t>
      </w:r>
    </w:p>
    <w:p w14:paraId="46D9844F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документ, що підтверджує право на заняття відповідною професійною діяльністю (свідоцтво, сертифікат тощо);</w:t>
      </w:r>
    </w:p>
    <w:p w14:paraId="21B59A6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банківські реквізити.</w:t>
      </w:r>
    </w:p>
    <w:p w14:paraId="4EF20543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9.7.4. Юридичні особи (у т.ч. товариства з обмеженою відповідальністю):</w:t>
      </w:r>
    </w:p>
    <w:p w14:paraId="35C0C7F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виписка або актуальний витяг з ЄДР;</w:t>
      </w:r>
    </w:p>
    <w:p w14:paraId="3FC4F6EC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– статут у чинній редакції (або інформація про провадження діяльності на підставі модельного статуту);</w:t>
      </w:r>
    </w:p>
    <w:p w14:paraId="0241968D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документи, що підтверджують повноваження підписанта: рішення/протокол уповноваженого органу про призначення керівника та наказ про вступ на посаду; довіреність – якщо договір підписує інша особа;</w:t>
      </w:r>
    </w:p>
    <w:p w14:paraId="29395865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відомості про кінцевих бенефіціарних власників;</w:t>
      </w:r>
    </w:p>
    <w:p w14:paraId="1800E4E0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витяг з реєстру платників ПДВ та/або єдиного податку (за наявності відповідного статусу);</w:t>
      </w:r>
    </w:p>
    <w:p w14:paraId="7559291B" w14:textId="77777777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банківські реквізити.</w:t>
      </w:r>
    </w:p>
    <w:p w14:paraId="32FA4775" w14:textId="098C34DD" w:rsidR="007B2511" w:rsidRPr="007B2511" w:rsidRDefault="007B2511" w:rsidP="007B25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Замовник залишає за собою право самостійно перевірити відомості про учасника у відкритих державних реєстрах та джерелах.</w:t>
      </w:r>
    </w:p>
    <w:sectPr w:rsidR="007B2511" w:rsidRPr="007B25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511"/>
    <w:rsid w:val="00375DF7"/>
    <w:rsid w:val="00487121"/>
    <w:rsid w:val="007B2511"/>
    <w:rsid w:val="00B7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CFB9"/>
  <w15:chartTrackingRefBased/>
  <w15:docId w15:val="{82591A2A-7DC8-457E-AE2B-6B3C2297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8238</Words>
  <Characters>4697</Characters>
  <Application>Microsoft Office Word</Application>
  <DocSecurity>0</DocSecurity>
  <Lines>39</Lines>
  <Paragraphs>25</Paragraphs>
  <ScaleCrop>false</ScaleCrop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Veronika</cp:lastModifiedBy>
  <cp:revision>4</cp:revision>
  <dcterms:created xsi:type="dcterms:W3CDTF">2026-07-10T17:50:00Z</dcterms:created>
  <dcterms:modified xsi:type="dcterms:W3CDTF">2026-07-21T08:40:00Z</dcterms:modified>
</cp:coreProperties>
</file>